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Burden Presumptions and Estoppel a matter involving multiple persons or entities</w:t>
      </w:r>
    </w:p>
    <w:p>
      <w:pPr>
        <w:spacing w:before="0" w:after="160" w:line="269" w:lineRule="auto"/>
        <w:jc w:val="center"/>
      </w:pPr>
      <w:r>
        <w:rPr>
          <w:rFonts w:ascii="Times New Roman" w:hAnsi="Times New Roman"/>
          <w:b w:val="0"/>
          <w:i w:val="0"/>
          <w:color w:val="000000"/>
          <w:sz w:val="18"/>
        </w:rPr>
        <w:t>BSA Law drafts  |  Burden Presumptions and Estoppel  |  Resource ID LAW-03-08-033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Burden Presumptions and Estoppel a matter involving multiple persons or entities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